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17C98" w14:textId="77777777" w:rsidR="00222AE2" w:rsidRPr="00196DB5" w:rsidRDefault="00222AE2" w:rsidP="00222AE2">
      <w:pPr>
        <w:tabs>
          <w:tab w:val="center" w:pos="4320"/>
          <w:tab w:val="right" w:pos="8640"/>
        </w:tabs>
        <w:spacing w:after="0"/>
        <w:jc w:val="center"/>
        <w:rPr>
          <w:rFonts w:ascii="Arial" w:hAnsi="Arial" w:cs="Arial"/>
          <w:b/>
          <w:color w:val="339966"/>
          <w:sz w:val="28"/>
          <w:szCs w:val="28"/>
        </w:rPr>
      </w:pPr>
      <w:r w:rsidRPr="00196DB5">
        <w:rPr>
          <w:rFonts w:ascii="Arial" w:hAnsi="Arial" w:cs="Arial"/>
          <w:i w:val="0"/>
          <w:noProof/>
          <w:sz w:val="28"/>
          <w:szCs w:val="28"/>
          <w:lang w:val="en-CA" w:eastAsia="en-CA"/>
        </w:rPr>
        <w:drawing>
          <wp:inline distT="0" distB="0" distL="0" distR="0" wp14:anchorId="2902F574" wp14:editId="718F339C">
            <wp:extent cx="857250" cy="857250"/>
            <wp:effectExtent l="0" t="0" r="0" b="0"/>
            <wp:docPr id="1" name="Picture 1" descr="Description: frontenac-islands-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rontenac-islands-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rsidRPr="00196DB5">
        <w:rPr>
          <w:rFonts w:ascii="Cornerstone" w:hAnsi="Cornerstone"/>
          <w:b/>
          <w:i w:val="0"/>
          <w:sz w:val="28"/>
          <w:szCs w:val="28"/>
        </w:rPr>
        <w:t xml:space="preserve"> </w:t>
      </w:r>
      <w:r w:rsidRPr="00196DB5">
        <w:rPr>
          <w:rFonts w:ascii="Arial" w:hAnsi="Arial" w:cs="Arial"/>
          <w:b/>
          <w:color w:val="339966"/>
          <w:sz w:val="28"/>
          <w:szCs w:val="28"/>
        </w:rPr>
        <w:t>Township of Frontenac Islands</w:t>
      </w:r>
    </w:p>
    <w:p w14:paraId="6F75863E" w14:textId="77777777" w:rsidR="00222AE2" w:rsidRDefault="00222AE2" w:rsidP="00222AE2">
      <w:pPr>
        <w:pStyle w:val="NoSpacing"/>
      </w:pPr>
    </w:p>
    <w:p w14:paraId="0AABED1E" w14:textId="71B4BB6A" w:rsidR="00254A5A" w:rsidRDefault="00F66E70" w:rsidP="00196DB5">
      <w:pPr>
        <w:pStyle w:val="NoSpacing"/>
        <w:jc w:val="right"/>
        <w:rPr>
          <w:i w:val="0"/>
          <w:sz w:val="24"/>
          <w:szCs w:val="24"/>
        </w:rPr>
      </w:pPr>
      <w:r>
        <w:rPr>
          <w:i w:val="0"/>
          <w:sz w:val="24"/>
          <w:szCs w:val="24"/>
        </w:rPr>
        <w:t>March 20, 2023</w:t>
      </w:r>
    </w:p>
    <w:p w14:paraId="00B43D4B" w14:textId="77777777" w:rsidR="00196DB5" w:rsidRPr="00196DB5" w:rsidRDefault="00196DB5" w:rsidP="00196DB5">
      <w:pPr>
        <w:pStyle w:val="NoSpacing"/>
        <w:jc w:val="right"/>
        <w:rPr>
          <w:i w:val="0"/>
          <w:sz w:val="16"/>
          <w:szCs w:val="16"/>
        </w:rPr>
      </w:pPr>
    </w:p>
    <w:tbl>
      <w:tblPr>
        <w:tblStyle w:val="TableGrid"/>
        <w:tblW w:w="0" w:type="auto"/>
        <w:tblLook w:val="04A0" w:firstRow="1" w:lastRow="0" w:firstColumn="1" w:lastColumn="0" w:noHBand="0" w:noVBand="1"/>
      </w:tblPr>
      <w:tblGrid>
        <w:gridCol w:w="2344"/>
        <w:gridCol w:w="2326"/>
        <w:gridCol w:w="2349"/>
        <w:gridCol w:w="2331"/>
      </w:tblGrid>
      <w:tr w:rsidR="00222AE2" w14:paraId="2D0E56E6" w14:textId="77777777" w:rsidTr="00222AE2">
        <w:tc>
          <w:tcPr>
            <w:tcW w:w="2394" w:type="dxa"/>
          </w:tcPr>
          <w:p w14:paraId="1DA00BDD" w14:textId="77777777" w:rsidR="00222AE2" w:rsidRDefault="00222AE2" w:rsidP="00196DB5">
            <w:pPr>
              <w:pStyle w:val="NoSpacing"/>
              <w:jc w:val="center"/>
              <w:rPr>
                <w:i w:val="0"/>
                <w:sz w:val="28"/>
                <w:szCs w:val="28"/>
              </w:rPr>
            </w:pPr>
            <w:r>
              <w:rPr>
                <w:i w:val="0"/>
                <w:sz w:val="28"/>
                <w:szCs w:val="28"/>
              </w:rPr>
              <w:t>Type of Application</w:t>
            </w:r>
          </w:p>
        </w:tc>
        <w:tc>
          <w:tcPr>
            <w:tcW w:w="2394" w:type="dxa"/>
          </w:tcPr>
          <w:p w14:paraId="1FF3D7CF" w14:textId="77777777" w:rsidR="00222AE2" w:rsidRDefault="00222AE2" w:rsidP="00196DB5">
            <w:pPr>
              <w:pStyle w:val="NoSpacing"/>
              <w:jc w:val="center"/>
              <w:rPr>
                <w:i w:val="0"/>
                <w:sz w:val="28"/>
                <w:szCs w:val="28"/>
              </w:rPr>
            </w:pPr>
            <w:r>
              <w:rPr>
                <w:i w:val="0"/>
                <w:sz w:val="28"/>
                <w:szCs w:val="28"/>
              </w:rPr>
              <w:t>Township of Frontenac Islands Fees</w:t>
            </w:r>
          </w:p>
          <w:p w14:paraId="68AAD9DB" w14:textId="77777777" w:rsidR="00222AE2" w:rsidRDefault="00222AE2" w:rsidP="00196DB5">
            <w:pPr>
              <w:pStyle w:val="NoSpacing"/>
              <w:jc w:val="center"/>
              <w:rPr>
                <w:i w:val="0"/>
                <w:sz w:val="28"/>
                <w:szCs w:val="28"/>
              </w:rPr>
            </w:pPr>
            <w:r>
              <w:rPr>
                <w:i w:val="0"/>
                <w:sz w:val="28"/>
                <w:szCs w:val="28"/>
              </w:rPr>
              <w:t>(Bylaw # 15-2009)</w:t>
            </w:r>
          </w:p>
        </w:tc>
        <w:tc>
          <w:tcPr>
            <w:tcW w:w="2394" w:type="dxa"/>
          </w:tcPr>
          <w:p w14:paraId="7D748AD9" w14:textId="77777777" w:rsidR="00222AE2" w:rsidRDefault="00222AE2" w:rsidP="00196DB5">
            <w:pPr>
              <w:pStyle w:val="NoSpacing"/>
              <w:jc w:val="center"/>
              <w:rPr>
                <w:i w:val="0"/>
                <w:sz w:val="28"/>
                <w:szCs w:val="28"/>
              </w:rPr>
            </w:pPr>
            <w:r>
              <w:rPr>
                <w:i w:val="0"/>
                <w:sz w:val="28"/>
                <w:szCs w:val="28"/>
              </w:rPr>
              <w:t>Cataraqui Region Conservation Authority Fees</w:t>
            </w:r>
          </w:p>
          <w:p w14:paraId="7AFF98B8" w14:textId="77777777" w:rsidR="00222AE2" w:rsidRDefault="00222AE2" w:rsidP="00196DB5">
            <w:pPr>
              <w:pStyle w:val="NoSpacing"/>
              <w:jc w:val="center"/>
              <w:rPr>
                <w:i w:val="0"/>
                <w:sz w:val="28"/>
                <w:szCs w:val="28"/>
              </w:rPr>
            </w:pPr>
            <w:r>
              <w:rPr>
                <w:i w:val="0"/>
                <w:sz w:val="28"/>
                <w:szCs w:val="28"/>
              </w:rPr>
              <w:t>(Payable to CRCA)</w:t>
            </w:r>
          </w:p>
        </w:tc>
        <w:tc>
          <w:tcPr>
            <w:tcW w:w="2394" w:type="dxa"/>
          </w:tcPr>
          <w:p w14:paraId="3A92CEA5" w14:textId="77777777" w:rsidR="00222AE2" w:rsidRDefault="001924DD" w:rsidP="001924DD">
            <w:pPr>
              <w:pStyle w:val="NoSpacing"/>
              <w:jc w:val="center"/>
              <w:rPr>
                <w:i w:val="0"/>
                <w:sz w:val="28"/>
                <w:szCs w:val="28"/>
              </w:rPr>
            </w:pPr>
            <w:r>
              <w:rPr>
                <w:i w:val="0"/>
                <w:sz w:val="28"/>
                <w:szCs w:val="28"/>
              </w:rPr>
              <w:t>**Land Use-</w:t>
            </w:r>
            <w:r w:rsidR="00222AE2">
              <w:rPr>
                <w:i w:val="0"/>
                <w:sz w:val="28"/>
                <w:szCs w:val="28"/>
              </w:rPr>
              <w:t xml:space="preserve">Septic </w:t>
            </w:r>
            <w:r>
              <w:rPr>
                <w:i w:val="0"/>
                <w:sz w:val="28"/>
                <w:szCs w:val="28"/>
              </w:rPr>
              <w:t xml:space="preserve">Review Fees </w:t>
            </w:r>
            <w:r w:rsidR="00222AE2">
              <w:rPr>
                <w:i w:val="0"/>
                <w:sz w:val="28"/>
                <w:szCs w:val="28"/>
              </w:rPr>
              <w:t>(Payable to Township of South Frontenac)</w:t>
            </w:r>
            <w:r>
              <w:rPr>
                <w:i w:val="0"/>
                <w:sz w:val="28"/>
                <w:szCs w:val="28"/>
              </w:rPr>
              <w:t xml:space="preserve"> </w:t>
            </w:r>
          </w:p>
        </w:tc>
      </w:tr>
      <w:tr w:rsidR="00222AE2" w14:paraId="12A8E6BE" w14:textId="77777777" w:rsidTr="00222AE2">
        <w:tc>
          <w:tcPr>
            <w:tcW w:w="2394" w:type="dxa"/>
          </w:tcPr>
          <w:p w14:paraId="1A288FEC" w14:textId="77777777" w:rsidR="00222AE2" w:rsidRDefault="00222AE2" w:rsidP="00196DB5">
            <w:pPr>
              <w:pStyle w:val="NoSpacing"/>
              <w:jc w:val="center"/>
              <w:rPr>
                <w:i w:val="0"/>
                <w:sz w:val="28"/>
                <w:szCs w:val="28"/>
              </w:rPr>
            </w:pPr>
            <w:r>
              <w:rPr>
                <w:i w:val="0"/>
                <w:sz w:val="28"/>
                <w:szCs w:val="28"/>
              </w:rPr>
              <w:t>Minor variance</w:t>
            </w:r>
          </w:p>
        </w:tc>
        <w:tc>
          <w:tcPr>
            <w:tcW w:w="2394" w:type="dxa"/>
          </w:tcPr>
          <w:p w14:paraId="21260676" w14:textId="77777777" w:rsidR="00222AE2" w:rsidRDefault="00222AE2" w:rsidP="00196DB5">
            <w:pPr>
              <w:pStyle w:val="NoSpacing"/>
              <w:jc w:val="center"/>
              <w:rPr>
                <w:i w:val="0"/>
                <w:sz w:val="28"/>
                <w:szCs w:val="28"/>
              </w:rPr>
            </w:pPr>
            <w:r>
              <w:rPr>
                <w:i w:val="0"/>
                <w:sz w:val="28"/>
                <w:szCs w:val="28"/>
              </w:rPr>
              <w:t>$500</w:t>
            </w:r>
          </w:p>
        </w:tc>
        <w:tc>
          <w:tcPr>
            <w:tcW w:w="2394" w:type="dxa"/>
          </w:tcPr>
          <w:p w14:paraId="4AD29969" w14:textId="76CE2E9C" w:rsidR="00222AE2" w:rsidRDefault="00222AE2" w:rsidP="00196DB5">
            <w:pPr>
              <w:pStyle w:val="NoSpacing"/>
              <w:jc w:val="center"/>
              <w:rPr>
                <w:i w:val="0"/>
                <w:sz w:val="28"/>
                <w:szCs w:val="28"/>
              </w:rPr>
            </w:pPr>
            <w:r>
              <w:rPr>
                <w:i w:val="0"/>
                <w:sz w:val="28"/>
                <w:szCs w:val="28"/>
              </w:rPr>
              <w:t>$</w:t>
            </w:r>
            <w:r w:rsidR="007F41E8">
              <w:rPr>
                <w:i w:val="0"/>
                <w:sz w:val="28"/>
                <w:szCs w:val="28"/>
              </w:rPr>
              <w:t>5</w:t>
            </w:r>
            <w:r w:rsidR="00F66E70">
              <w:rPr>
                <w:i w:val="0"/>
                <w:sz w:val="28"/>
                <w:szCs w:val="28"/>
              </w:rPr>
              <w:t>35</w:t>
            </w:r>
          </w:p>
        </w:tc>
        <w:tc>
          <w:tcPr>
            <w:tcW w:w="2394" w:type="dxa"/>
          </w:tcPr>
          <w:p w14:paraId="0C5421FF" w14:textId="3D84EB86" w:rsidR="00222AE2" w:rsidRDefault="00222AE2" w:rsidP="00196DB5">
            <w:pPr>
              <w:pStyle w:val="NoSpacing"/>
              <w:jc w:val="center"/>
              <w:rPr>
                <w:i w:val="0"/>
                <w:sz w:val="28"/>
                <w:szCs w:val="28"/>
              </w:rPr>
            </w:pPr>
            <w:r>
              <w:rPr>
                <w:i w:val="0"/>
                <w:sz w:val="28"/>
                <w:szCs w:val="28"/>
              </w:rPr>
              <w:t>$</w:t>
            </w:r>
            <w:r w:rsidR="00F66E70">
              <w:rPr>
                <w:i w:val="0"/>
                <w:sz w:val="28"/>
                <w:szCs w:val="28"/>
              </w:rPr>
              <w:t>463</w:t>
            </w:r>
          </w:p>
        </w:tc>
      </w:tr>
      <w:tr w:rsidR="00222AE2" w14:paraId="3629E879" w14:textId="77777777" w:rsidTr="00222AE2">
        <w:tc>
          <w:tcPr>
            <w:tcW w:w="2394" w:type="dxa"/>
          </w:tcPr>
          <w:p w14:paraId="74A8B5DA" w14:textId="77777777" w:rsidR="00222AE2" w:rsidRDefault="00222AE2" w:rsidP="00196DB5">
            <w:pPr>
              <w:pStyle w:val="NoSpacing"/>
              <w:jc w:val="center"/>
              <w:rPr>
                <w:i w:val="0"/>
                <w:sz w:val="28"/>
                <w:szCs w:val="28"/>
              </w:rPr>
            </w:pPr>
            <w:r>
              <w:rPr>
                <w:i w:val="0"/>
                <w:sz w:val="28"/>
                <w:szCs w:val="28"/>
              </w:rPr>
              <w:t>Consent Severance</w:t>
            </w:r>
          </w:p>
        </w:tc>
        <w:tc>
          <w:tcPr>
            <w:tcW w:w="2394" w:type="dxa"/>
          </w:tcPr>
          <w:p w14:paraId="07555A32" w14:textId="77777777" w:rsidR="00222AE2" w:rsidRDefault="00222AE2" w:rsidP="00196DB5">
            <w:pPr>
              <w:pStyle w:val="NoSpacing"/>
              <w:jc w:val="center"/>
              <w:rPr>
                <w:i w:val="0"/>
                <w:sz w:val="28"/>
                <w:szCs w:val="28"/>
              </w:rPr>
            </w:pPr>
            <w:r>
              <w:rPr>
                <w:i w:val="0"/>
                <w:sz w:val="28"/>
                <w:szCs w:val="28"/>
              </w:rPr>
              <w:t>$500</w:t>
            </w:r>
          </w:p>
        </w:tc>
        <w:tc>
          <w:tcPr>
            <w:tcW w:w="2394" w:type="dxa"/>
          </w:tcPr>
          <w:p w14:paraId="7071D626" w14:textId="36D1EC25" w:rsidR="00222AE2" w:rsidRDefault="00222AE2" w:rsidP="00196DB5">
            <w:pPr>
              <w:pStyle w:val="NoSpacing"/>
              <w:jc w:val="center"/>
              <w:rPr>
                <w:i w:val="0"/>
                <w:sz w:val="28"/>
                <w:szCs w:val="28"/>
              </w:rPr>
            </w:pPr>
            <w:r>
              <w:rPr>
                <w:i w:val="0"/>
                <w:sz w:val="28"/>
                <w:szCs w:val="28"/>
              </w:rPr>
              <w:t>$</w:t>
            </w:r>
            <w:r w:rsidR="00F66E70">
              <w:rPr>
                <w:i w:val="0"/>
                <w:sz w:val="28"/>
                <w:szCs w:val="28"/>
              </w:rPr>
              <w:t>535</w:t>
            </w:r>
            <w:r w:rsidR="007F41E8">
              <w:rPr>
                <w:i w:val="0"/>
                <w:sz w:val="28"/>
                <w:szCs w:val="28"/>
              </w:rPr>
              <w:t xml:space="preserve"> </w:t>
            </w:r>
          </w:p>
        </w:tc>
        <w:tc>
          <w:tcPr>
            <w:tcW w:w="2394" w:type="dxa"/>
          </w:tcPr>
          <w:p w14:paraId="5A317387" w14:textId="77777777" w:rsidR="00222AE2" w:rsidRDefault="00222AE2" w:rsidP="00196DB5">
            <w:pPr>
              <w:pStyle w:val="NoSpacing"/>
              <w:jc w:val="center"/>
              <w:rPr>
                <w:i w:val="0"/>
                <w:sz w:val="28"/>
                <w:szCs w:val="28"/>
              </w:rPr>
            </w:pPr>
            <w:r>
              <w:rPr>
                <w:i w:val="0"/>
                <w:sz w:val="28"/>
                <w:szCs w:val="28"/>
              </w:rPr>
              <w:t>$515</w:t>
            </w:r>
          </w:p>
        </w:tc>
      </w:tr>
      <w:tr w:rsidR="00222AE2" w14:paraId="1A07A1AA" w14:textId="77777777" w:rsidTr="00222AE2">
        <w:tc>
          <w:tcPr>
            <w:tcW w:w="2394" w:type="dxa"/>
          </w:tcPr>
          <w:p w14:paraId="00C8290D" w14:textId="77777777" w:rsidR="00222AE2" w:rsidRDefault="00222AE2" w:rsidP="00196DB5">
            <w:pPr>
              <w:pStyle w:val="NoSpacing"/>
              <w:jc w:val="center"/>
              <w:rPr>
                <w:i w:val="0"/>
                <w:sz w:val="28"/>
                <w:szCs w:val="28"/>
              </w:rPr>
            </w:pPr>
            <w:r>
              <w:rPr>
                <w:i w:val="0"/>
                <w:sz w:val="28"/>
                <w:szCs w:val="28"/>
              </w:rPr>
              <w:t>Lot Addition or Right of Way</w:t>
            </w:r>
          </w:p>
        </w:tc>
        <w:tc>
          <w:tcPr>
            <w:tcW w:w="2394" w:type="dxa"/>
          </w:tcPr>
          <w:p w14:paraId="19DB88F4" w14:textId="77777777" w:rsidR="00222AE2" w:rsidRDefault="00222AE2" w:rsidP="00196DB5">
            <w:pPr>
              <w:pStyle w:val="NoSpacing"/>
              <w:jc w:val="center"/>
              <w:rPr>
                <w:i w:val="0"/>
                <w:sz w:val="28"/>
                <w:szCs w:val="28"/>
              </w:rPr>
            </w:pPr>
            <w:r>
              <w:rPr>
                <w:i w:val="0"/>
                <w:sz w:val="28"/>
                <w:szCs w:val="28"/>
              </w:rPr>
              <w:t>$400</w:t>
            </w:r>
          </w:p>
        </w:tc>
        <w:tc>
          <w:tcPr>
            <w:tcW w:w="2394" w:type="dxa"/>
          </w:tcPr>
          <w:p w14:paraId="1621B915" w14:textId="196CEDBC" w:rsidR="00222AE2" w:rsidRDefault="00222AE2" w:rsidP="00196DB5">
            <w:pPr>
              <w:pStyle w:val="NoSpacing"/>
              <w:jc w:val="center"/>
              <w:rPr>
                <w:i w:val="0"/>
                <w:sz w:val="28"/>
                <w:szCs w:val="28"/>
              </w:rPr>
            </w:pPr>
            <w:r>
              <w:rPr>
                <w:i w:val="0"/>
                <w:sz w:val="28"/>
                <w:szCs w:val="28"/>
              </w:rPr>
              <w:t>$</w:t>
            </w:r>
            <w:r w:rsidR="00F66E70">
              <w:rPr>
                <w:i w:val="0"/>
                <w:sz w:val="28"/>
                <w:szCs w:val="28"/>
              </w:rPr>
              <w:t>535</w:t>
            </w:r>
          </w:p>
        </w:tc>
        <w:tc>
          <w:tcPr>
            <w:tcW w:w="2394" w:type="dxa"/>
          </w:tcPr>
          <w:p w14:paraId="26C621B3" w14:textId="77777777" w:rsidR="00222AE2" w:rsidRDefault="00222AE2" w:rsidP="00196DB5">
            <w:pPr>
              <w:pStyle w:val="NoSpacing"/>
              <w:jc w:val="center"/>
              <w:rPr>
                <w:i w:val="0"/>
                <w:sz w:val="28"/>
                <w:szCs w:val="28"/>
              </w:rPr>
            </w:pPr>
            <w:r>
              <w:rPr>
                <w:i w:val="0"/>
                <w:sz w:val="28"/>
                <w:szCs w:val="28"/>
              </w:rPr>
              <w:t>$515</w:t>
            </w:r>
          </w:p>
        </w:tc>
      </w:tr>
      <w:tr w:rsidR="00222AE2" w14:paraId="725B1135" w14:textId="77777777" w:rsidTr="00222AE2">
        <w:tc>
          <w:tcPr>
            <w:tcW w:w="2394" w:type="dxa"/>
          </w:tcPr>
          <w:p w14:paraId="31D1B97C" w14:textId="77777777" w:rsidR="00222AE2" w:rsidRDefault="00222AE2" w:rsidP="00196DB5">
            <w:pPr>
              <w:pStyle w:val="NoSpacing"/>
              <w:jc w:val="center"/>
              <w:rPr>
                <w:i w:val="0"/>
                <w:sz w:val="28"/>
                <w:szCs w:val="28"/>
              </w:rPr>
            </w:pPr>
            <w:r>
              <w:rPr>
                <w:i w:val="0"/>
                <w:sz w:val="28"/>
                <w:szCs w:val="28"/>
              </w:rPr>
              <w:t>Zoning Bylaw Amendment</w:t>
            </w:r>
          </w:p>
        </w:tc>
        <w:tc>
          <w:tcPr>
            <w:tcW w:w="2394" w:type="dxa"/>
          </w:tcPr>
          <w:p w14:paraId="55C58726" w14:textId="77777777" w:rsidR="00222AE2" w:rsidRDefault="00222AE2" w:rsidP="00196DB5">
            <w:pPr>
              <w:pStyle w:val="NoSpacing"/>
              <w:jc w:val="center"/>
              <w:rPr>
                <w:i w:val="0"/>
                <w:sz w:val="28"/>
                <w:szCs w:val="28"/>
              </w:rPr>
            </w:pPr>
            <w:r>
              <w:rPr>
                <w:i w:val="0"/>
                <w:sz w:val="28"/>
                <w:szCs w:val="28"/>
              </w:rPr>
              <w:t>$1,000</w:t>
            </w:r>
          </w:p>
        </w:tc>
        <w:tc>
          <w:tcPr>
            <w:tcW w:w="2394" w:type="dxa"/>
          </w:tcPr>
          <w:p w14:paraId="15DEAEBC" w14:textId="25728418" w:rsidR="00222AE2" w:rsidRDefault="00222AE2" w:rsidP="00196DB5">
            <w:pPr>
              <w:pStyle w:val="NoSpacing"/>
              <w:jc w:val="center"/>
              <w:rPr>
                <w:i w:val="0"/>
                <w:sz w:val="28"/>
                <w:szCs w:val="28"/>
              </w:rPr>
            </w:pPr>
            <w:r>
              <w:rPr>
                <w:i w:val="0"/>
                <w:sz w:val="28"/>
                <w:szCs w:val="28"/>
              </w:rPr>
              <w:t>$</w:t>
            </w:r>
            <w:r w:rsidR="007F41E8">
              <w:rPr>
                <w:i w:val="0"/>
                <w:sz w:val="28"/>
                <w:szCs w:val="28"/>
              </w:rPr>
              <w:t>5</w:t>
            </w:r>
            <w:r w:rsidR="00F66E70">
              <w:rPr>
                <w:i w:val="0"/>
                <w:sz w:val="28"/>
                <w:szCs w:val="28"/>
              </w:rPr>
              <w:t>35</w:t>
            </w:r>
          </w:p>
        </w:tc>
        <w:tc>
          <w:tcPr>
            <w:tcW w:w="2394" w:type="dxa"/>
          </w:tcPr>
          <w:p w14:paraId="1AE23013" w14:textId="77777777" w:rsidR="00222AE2" w:rsidRDefault="00222AE2" w:rsidP="00196DB5">
            <w:pPr>
              <w:pStyle w:val="NoSpacing"/>
              <w:jc w:val="center"/>
              <w:rPr>
                <w:i w:val="0"/>
                <w:sz w:val="28"/>
                <w:szCs w:val="28"/>
              </w:rPr>
            </w:pPr>
            <w:r>
              <w:rPr>
                <w:i w:val="0"/>
                <w:sz w:val="28"/>
                <w:szCs w:val="28"/>
              </w:rPr>
              <w:t>$463</w:t>
            </w:r>
          </w:p>
        </w:tc>
      </w:tr>
      <w:tr w:rsidR="00222AE2" w14:paraId="56B228A8" w14:textId="77777777" w:rsidTr="00222AE2">
        <w:tc>
          <w:tcPr>
            <w:tcW w:w="2394" w:type="dxa"/>
          </w:tcPr>
          <w:p w14:paraId="2AB002F6" w14:textId="77777777" w:rsidR="00222AE2" w:rsidRDefault="00222AE2" w:rsidP="00196DB5">
            <w:pPr>
              <w:pStyle w:val="NoSpacing"/>
              <w:jc w:val="center"/>
              <w:rPr>
                <w:i w:val="0"/>
                <w:sz w:val="28"/>
                <w:szCs w:val="28"/>
              </w:rPr>
            </w:pPr>
            <w:r>
              <w:rPr>
                <w:i w:val="0"/>
                <w:sz w:val="28"/>
                <w:szCs w:val="28"/>
              </w:rPr>
              <w:t>Official Plan Amendment</w:t>
            </w:r>
          </w:p>
        </w:tc>
        <w:tc>
          <w:tcPr>
            <w:tcW w:w="2394" w:type="dxa"/>
          </w:tcPr>
          <w:p w14:paraId="3D6E4FA4" w14:textId="77777777" w:rsidR="00222AE2" w:rsidRDefault="00222AE2" w:rsidP="00196DB5">
            <w:pPr>
              <w:pStyle w:val="NoSpacing"/>
              <w:jc w:val="center"/>
              <w:rPr>
                <w:i w:val="0"/>
                <w:sz w:val="28"/>
                <w:szCs w:val="28"/>
              </w:rPr>
            </w:pPr>
            <w:r>
              <w:rPr>
                <w:i w:val="0"/>
                <w:sz w:val="28"/>
                <w:szCs w:val="28"/>
              </w:rPr>
              <w:t>$1,000</w:t>
            </w:r>
          </w:p>
        </w:tc>
        <w:tc>
          <w:tcPr>
            <w:tcW w:w="2394" w:type="dxa"/>
          </w:tcPr>
          <w:p w14:paraId="4BF209DD" w14:textId="3F8BD8F5" w:rsidR="00222AE2" w:rsidRDefault="00763AAD" w:rsidP="00196DB5">
            <w:pPr>
              <w:pStyle w:val="NoSpacing"/>
              <w:jc w:val="center"/>
              <w:rPr>
                <w:i w:val="0"/>
                <w:sz w:val="28"/>
                <w:szCs w:val="28"/>
              </w:rPr>
            </w:pPr>
            <w:r>
              <w:rPr>
                <w:i w:val="0"/>
                <w:sz w:val="28"/>
                <w:szCs w:val="28"/>
              </w:rPr>
              <w:t>$8</w:t>
            </w:r>
            <w:r w:rsidR="00F66E70">
              <w:rPr>
                <w:i w:val="0"/>
                <w:sz w:val="28"/>
                <w:szCs w:val="28"/>
              </w:rPr>
              <w:t>90</w:t>
            </w:r>
            <w:r>
              <w:rPr>
                <w:i w:val="0"/>
                <w:sz w:val="28"/>
                <w:szCs w:val="28"/>
              </w:rPr>
              <w:t xml:space="preserve"> (minor)</w:t>
            </w:r>
          </w:p>
          <w:p w14:paraId="1F714179" w14:textId="70DEE51A" w:rsidR="00763AAD" w:rsidRDefault="00763AAD" w:rsidP="00196DB5">
            <w:pPr>
              <w:pStyle w:val="NoSpacing"/>
              <w:jc w:val="center"/>
              <w:rPr>
                <w:i w:val="0"/>
                <w:sz w:val="28"/>
                <w:szCs w:val="28"/>
              </w:rPr>
            </w:pPr>
            <w:r>
              <w:rPr>
                <w:i w:val="0"/>
                <w:sz w:val="28"/>
                <w:szCs w:val="28"/>
              </w:rPr>
              <w:t>$1,</w:t>
            </w:r>
            <w:r w:rsidR="00F66E70">
              <w:rPr>
                <w:i w:val="0"/>
                <w:sz w:val="28"/>
                <w:szCs w:val="28"/>
              </w:rPr>
              <w:t>360</w:t>
            </w:r>
            <w:r>
              <w:rPr>
                <w:i w:val="0"/>
                <w:sz w:val="28"/>
                <w:szCs w:val="28"/>
              </w:rPr>
              <w:t xml:space="preserve"> (major)</w:t>
            </w:r>
          </w:p>
        </w:tc>
        <w:tc>
          <w:tcPr>
            <w:tcW w:w="2394" w:type="dxa"/>
          </w:tcPr>
          <w:p w14:paraId="56E97ECB" w14:textId="77777777" w:rsidR="00222AE2" w:rsidRDefault="00763AAD" w:rsidP="00196DB5">
            <w:pPr>
              <w:pStyle w:val="NoSpacing"/>
              <w:jc w:val="center"/>
              <w:rPr>
                <w:i w:val="0"/>
                <w:sz w:val="28"/>
                <w:szCs w:val="28"/>
              </w:rPr>
            </w:pPr>
            <w:r>
              <w:rPr>
                <w:i w:val="0"/>
                <w:sz w:val="28"/>
                <w:szCs w:val="28"/>
              </w:rPr>
              <w:t>Contact Township of South Frontenac</w:t>
            </w:r>
          </w:p>
        </w:tc>
      </w:tr>
    </w:tbl>
    <w:p w14:paraId="0BCE98FD" w14:textId="77777777" w:rsidR="00222AE2" w:rsidRDefault="00222AE2" w:rsidP="00196DB5">
      <w:pPr>
        <w:pStyle w:val="NoSpacing"/>
        <w:jc w:val="center"/>
        <w:rPr>
          <w:i w:val="0"/>
          <w:sz w:val="28"/>
          <w:szCs w:val="28"/>
        </w:rPr>
      </w:pPr>
    </w:p>
    <w:p w14:paraId="0FCFE13A" w14:textId="77777777" w:rsidR="00763AAD" w:rsidRPr="00196DB5" w:rsidRDefault="00763AAD" w:rsidP="00222AE2">
      <w:pPr>
        <w:pStyle w:val="NoSpacing"/>
        <w:rPr>
          <w:i w:val="0"/>
          <w:sz w:val="24"/>
          <w:szCs w:val="24"/>
        </w:rPr>
      </w:pPr>
      <w:r w:rsidRPr="00196DB5">
        <w:rPr>
          <w:i w:val="0"/>
          <w:sz w:val="24"/>
          <w:szCs w:val="24"/>
        </w:rPr>
        <w:t xml:space="preserve">Per Frontenac Islands Bylaw # 15-2009, these fees are non-refundable and include the fees for processing the application. </w:t>
      </w:r>
      <w:r w:rsidR="00196DB5" w:rsidRPr="00196DB5">
        <w:rPr>
          <w:i w:val="0"/>
          <w:sz w:val="24"/>
          <w:szCs w:val="24"/>
        </w:rPr>
        <w:t xml:space="preserve">They do not include any additional costs incurred by the Municipality in processing the application plus any additional costs incurred by the Municipality in the event of an appeal from a decision. The Applicant must enter into an Indemnity Agreement to cover all external costs incurred by the Municipality in respect of the planning application. </w:t>
      </w:r>
    </w:p>
    <w:p w14:paraId="35003434" w14:textId="77777777" w:rsidR="00196DB5" w:rsidRPr="00196DB5" w:rsidRDefault="00196DB5" w:rsidP="00222AE2">
      <w:pPr>
        <w:pStyle w:val="NoSpacing"/>
        <w:rPr>
          <w:i w:val="0"/>
          <w:sz w:val="24"/>
          <w:szCs w:val="24"/>
        </w:rPr>
      </w:pPr>
    </w:p>
    <w:p w14:paraId="63DF8954" w14:textId="77777777" w:rsidR="00196DB5" w:rsidRPr="00196DB5" w:rsidRDefault="00196DB5" w:rsidP="00222AE2">
      <w:pPr>
        <w:pStyle w:val="NoSpacing"/>
        <w:rPr>
          <w:i w:val="0"/>
          <w:sz w:val="24"/>
          <w:szCs w:val="24"/>
        </w:rPr>
      </w:pPr>
      <w:r w:rsidRPr="00196DB5">
        <w:rPr>
          <w:i w:val="0"/>
          <w:sz w:val="24"/>
          <w:szCs w:val="24"/>
        </w:rPr>
        <w:t>The Municipality shall consult with Cataraqui Region Conservation Authority and the Township of South Frontenac to determine if they are required to comment. Where they are required to comment, the Municipality shall collect the required fees and circulate accordingly.</w:t>
      </w:r>
    </w:p>
    <w:p w14:paraId="11A43E93" w14:textId="77777777" w:rsidR="00196DB5" w:rsidRPr="00196DB5" w:rsidRDefault="00196DB5" w:rsidP="00222AE2">
      <w:pPr>
        <w:pStyle w:val="NoSpacing"/>
        <w:rPr>
          <w:i w:val="0"/>
          <w:sz w:val="24"/>
          <w:szCs w:val="24"/>
        </w:rPr>
      </w:pPr>
    </w:p>
    <w:p w14:paraId="650145D2" w14:textId="77777777" w:rsidR="00196DB5" w:rsidRDefault="00196DB5" w:rsidP="00222AE2">
      <w:pPr>
        <w:pStyle w:val="NoSpacing"/>
        <w:rPr>
          <w:i w:val="0"/>
          <w:sz w:val="28"/>
          <w:szCs w:val="28"/>
        </w:rPr>
      </w:pPr>
      <w:r w:rsidRPr="00196DB5">
        <w:rPr>
          <w:i w:val="0"/>
          <w:sz w:val="24"/>
          <w:szCs w:val="24"/>
        </w:rPr>
        <w:t>*In the case of any application made for an amendment to the Official Plan or application for amendment to the Zoning Bylaw the Municipality may request the applicant to enter into a Pre-Development Agreement which shall detail payments of fees to reimburse the Municipality for all legal, planning, engineering, administrative and other costs incurred by the Municipality relating to the application which shall include the payment of a Security Deposit to the municipality in an amount which shall be determined by the Council.</w:t>
      </w:r>
      <w:r>
        <w:rPr>
          <w:i w:val="0"/>
          <w:sz w:val="28"/>
          <w:szCs w:val="28"/>
        </w:rPr>
        <w:t xml:space="preserve"> </w:t>
      </w:r>
    </w:p>
    <w:p w14:paraId="7CE080DF" w14:textId="77777777" w:rsidR="001924DD" w:rsidRPr="00685B0D" w:rsidRDefault="001924DD" w:rsidP="00222AE2">
      <w:pPr>
        <w:pStyle w:val="NoSpacing"/>
        <w:rPr>
          <w:i w:val="0"/>
          <w:sz w:val="24"/>
          <w:szCs w:val="24"/>
        </w:rPr>
      </w:pPr>
    </w:p>
    <w:p w14:paraId="4BBCE751" w14:textId="77777777" w:rsidR="001924DD" w:rsidRPr="00685B0D" w:rsidRDefault="001924DD" w:rsidP="00222AE2">
      <w:pPr>
        <w:pStyle w:val="NoSpacing"/>
        <w:rPr>
          <w:i w:val="0"/>
          <w:sz w:val="24"/>
          <w:szCs w:val="24"/>
        </w:rPr>
      </w:pPr>
      <w:r w:rsidRPr="00685B0D">
        <w:rPr>
          <w:i w:val="0"/>
          <w:sz w:val="24"/>
          <w:szCs w:val="24"/>
        </w:rPr>
        <w:t xml:space="preserve">**Land Use-Septic Inspection Fees updated annually </w:t>
      </w:r>
    </w:p>
    <w:sectPr w:rsidR="001924DD" w:rsidRPr="00685B0D" w:rsidSect="00685B0D">
      <w:pgSz w:w="12240" w:h="15840"/>
      <w:pgMar w:top="1134"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nerstone">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AE2"/>
    <w:rsid w:val="001924DD"/>
    <w:rsid w:val="00196DB5"/>
    <w:rsid w:val="00222AE2"/>
    <w:rsid w:val="00254A5A"/>
    <w:rsid w:val="00685B0D"/>
    <w:rsid w:val="006D300D"/>
    <w:rsid w:val="00763AAD"/>
    <w:rsid w:val="007E1BA7"/>
    <w:rsid w:val="007F41E8"/>
    <w:rsid w:val="00F66E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408B1"/>
  <w15:docId w15:val="{6AF608AD-478F-43F0-B2C3-047259A4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22AE2"/>
    <w:pPr>
      <w:spacing w:line="240" w:lineRule="auto"/>
    </w:pPr>
    <w:rPr>
      <w:rFonts w:eastAsia="Times New Roman" w:cs="Times New Roman"/>
      <w:i/>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2AE2"/>
    <w:pPr>
      <w:spacing w:after="0" w:line="240" w:lineRule="auto"/>
    </w:pPr>
    <w:rPr>
      <w:rFonts w:eastAsia="Times New Roman" w:cs="Times New Roman"/>
      <w:i/>
      <w:szCs w:val="20"/>
      <w:lang w:val="en-US"/>
    </w:rPr>
  </w:style>
  <w:style w:type="paragraph" w:styleId="BalloonText">
    <w:name w:val="Balloon Text"/>
    <w:basedOn w:val="Normal"/>
    <w:link w:val="BalloonTextChar"/>
    <w:uiPriority w:val="99"/>
    <w:semiHidden/>
    <w:unhideWhenUsed/>
    <w:rsid w:val="00222A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AE2"/>
    <w:rPr>
      <w:rFonts w:ascii="Tahoma" w:eastAsia="Times New Roman" w:hAnsi="Tahoma" w:cs="Tahoma"/>
      <w:i/>
      <w:sz w:val="16"/>
      <w:szCs w:val="16"/>
      <w:lang w:val="en-US"/>
    </w:rPr>
  </w:style>
  <w:style w:type="table" w:styleId="TableGrid">
    <w:name w:val="Table Grid"/>
    <w:basedOn w:val="TableNormal"/>
    <w:uiPriority w:val="59"/>
    <w:rsid w:val="00222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10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dplumley</dc:creator>
  <cp:lastModifiedBy>Dmitry Kurylovich</cp:lastModifiedBy>
  <cp:revision>2</cp:revision>
  <dcterms:created xsi:type="dcterms:W3CDTF">2023-03-20T14:17:00Z</dcterms:created>
  <dcterms:modified xsi:type="dcterms:W3CDTF">2023-03-20T14:17:00Z</dcterms:modified>
</cp:coreProperties>
</file>